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spacing w:before="165"/>
        <w:rPr>
          <w:rFonts w:ascii="Times New Roman"/>
        </w:rPr>
      </w:pPr>
    </w:p>
    <w:p>
      <w:pPr>
        <w:spacing w:line="550" w:lineRule="atLeast" w:before="0"/>
        <w:ind w:left="173" w:right="0" w:firstLine="0"/>
        <w:jc w:val="left"/>
        <w:rPr>
          <w:rFonts w:ascii="Times New Roman" w:hAnsi="Times New Roman"/>
          <w:b/>
          <w:sz w:val="24"/>
        </w:rPr>
      </w:pPr>
      <w:r>
        <w:rPr>
          <w:rFonts w:ascii="Times New Roman" w:hAnsi="Times New Roman"/>
          <w:b/>
          <w:sz w:val="24"/>
        </w:rPr>
        <w:t>TITOLO</w:t>
      </w:r>
      <w:r>
        <w:rPr>
          <w:rFonts w:ascii="Times New Roman" w:hAnsi="Times New Roman"/>
          <w:b/>
          <w:spacing w:val="-5"/>
          <w:sz w:val="24"/>
        </w:rPr>
        <w:t> </w:t>
      </w:r>
      <w:r>
        <w:rPr>
          <w:rFonts w:ascii="Times New Roman" w:hAnsi="Times New Roman"/>
          <w:b/>
          <w:sz w:val="24"/>
        </w:rPr>
        <w:t>DEL</w:t>
      </w:r>
      <w:r>
        <w:rPr>
          <w:rFonts w:ascii="Times New Roman" w:hAnsi="Times New Roman"/>
          <w:b/>
          <w:spacing w:val="-5"/>
          <w:sz w:val="24"/>
        </w:rPr>
        <w:t> </w:t>
      </w:r>
      <w:r>
        <w:rPr>
          <w:rFonts w:ascii="Times New Roman" w:hAnsi="Times New Roman"/>
          <w:b/>
          <w:sz w:val="24"/>
        </w:rPr>
        <w:t>PROGETTO:</w:t>
      </w:r>
      <w:r>
        <w:rPr>
          <w:rFonts w:ascii="Times New Roman" w:hAnsi="Times New Roman"/>
          <w:b/>
          <w:spacing w:val="-3"/>
          <w:sz w:val="24"/>
        </w:rPr>
        <w:t> </w:t>
      </w:r>
      <w:r>
        <w:rPr>
          <w:rFonts w:ascii="Times New Roman" w:hAnsi="Times New Roman"/>
          <w:b/>
          <w:sz w:val="24"/>
        </w:rPr>
        <w:t>Biodiversità</w:t>
      </w:r>
      <w:r>
        <w:rPr>
          <w:rFonts w:ascii="Times New Roman" w:hAnsi="Times New Roman"/>
          <w:b/>
          <w:spacing w:val="-5"/>
          <w:sz w:val="24"/>
        </w:rPr>
        <w:t> </w:t>
      </w:r>
      <w:r>
        <w:rPr>
          <w:rFonts w:ascii="Times New Roman" w:hAnsi="Times New Roman"/>
          <w:b/>
          <w:sz w:val="24"/>
        </w:rPr>
        <w:t>delle</w:t>
      </w:r>
      <w:r>
        <w:rPr>
          <w:rFonts w:ascii="Times New Roman" w:hAnsi="Times New Roman"/>
          <w:b/>
          <w:spacing w:val="-6"/>
          <w:sz w:val="24"/>
        </w:rPr>
        <w:t> </w:t>
      </w:r>
      <w:r>
        <w:rPr>
          <w:rFonts w:ascii="Times New Roman" w:hAnsi="Times New Roman"/>
          <w:b/>
          <w:sz w:val="24"/>
        </w:rPr>
        <w:t>biocenosi</w:t>
      </w:r>
      <w:r>
        <w:rPr>
          <w:rFonts w:ascii="Times New Roman" w:hAnsi="Times New Roman"/>
          <w:b/>
          <w:spacing w:val="-5"/>
          <w:sz w:val="24"/>
        </w:rPr>
        <w:t> </w:t>
      </w:r>
      <w:r>
        <w:rPr>
          <w:rFonts w:ascii="Times New Roman" w:hAnsi="Times New Roman"/>
          <w:b/>
          <w:sz w:val="24"/>
        </w:rPr>
        <w:t>elmintiche</w:t>
      </w:r>
      <w:r>
        <w:rPr>
          <w:rFonts w:ascii="Times New Roman" w:hAnsi="Times New Roman"/>
          <w:b/>
          <w:spacing w:val="-6"/>
          <w:sz w:val="24"/>
        </w:rPr>
        <w:t> </w:t>
      </w:r>
      <w:r>
        <w:rPr>
          <w:rFonts w:ascii="Times New Roman" w:hAnsi="Times New Roman"/>
          <w:b/>
          <w:sz w:val="24"/>
        </w:rPr>
        <w:t>della</w:t>
      </w:r>
      <w:r>
        <w:rPr>
          <w:rFonts w:ascii="Times New Roman" w:hAnsi="Times New Roman"/>
          <w:b/>
          <w:spacing w:val="-5"/>
          <w:sz w:val="24"/>
        </w:rPr>
        <w:t> </w:t>
      </w:r>
      <w:r>
        <w:rPr>
          <w:rFonts w:ascii="Times New Roman" w:hAnsi="Times New Roman"/>
          <w:b/>
          <w:sz w:val="24"/>
        </w:rPr>
        <w:t>Lepre Docente tutor: Laura Stancampiano</w:t>
      </w:r>
    </w:p>
    <w:p>
      <w:pPr>
        <w:spacing w:before="3"/>
        <w:ind w:left="173" w:right="0" w:firstLine="0"/>
        <w:jc w:val="left"/>
        <w:rPr>
          <w:rFonts w:ascii="Times New Roman"/>
          <w:b/>
          <w:sz w:val="24"/>
        </w:rPr>
      </w:pPr>
      <w:r>
        <w:rPr>
          <w:rFonts w:ascii="Times New Roman"/>
          <w:b/>
          <w:sz w:val="24"/>
        </w:rPr>
        <w:t>Durata:</w:t>
      </w:r>
      <w:r>
        <w:rPr>
          <w:rFonts w:ascii="Times New Roman"/>
          <w:b/>
          <w:spacing w:val="-2"/>
          <w:sz w:val="24"/>
        </w:rPr>
        <w:t> </w:t>
      </w:r>
      <w:r>
        <w:rPr>
          <w:rFonts w:ascii="Times New Roman"/>
          <w:b/>
          <w:sz w:val="24"/>
        </w:rPr>
        <w:t>1</w:t>
      </w:r>
      <w:r>
        <w:rPr>
          <w:rFonts w:ascii="Times New Roman"/>
          <w:b/>
          <w:spacing w:val="-1"/>
          <w:sz w:val="24"/>
        </w:rPr>
        <w:t> </w:t>
      </w:r>
      <w:r>
        <w:rPr>
          <w:rFonts w:ascii="Times New Roman"/>
          <w:b/>
          <w:spacing w:val="-4"/>
          <w:sz w:val="24"/>
        </w:rPr>
        <w:t>anno</w:t>
      </w:r>
    </w:p>
    <w:p>
      <w:pPr>
        <w:pStyle w:val="BodyText"/>
        <w:rPr>
          <w:rFonts w:ascii="Times New Roman"/>
          <w:b/>
        </w:rPr>
      </w:pPr>
    </w:p>
    <w:p>
      <w:pPr>
        <w:pStyle w:val="BodyText"/>
        <w:spacing w:before="3"/>
        <w:rPr>
          <w:rFonts w:ascii="Times New Roman"/>
          <w:b/>
        </w:rPr>
      </w:pPr>
    </w:p>
    <w:p>
      <w:pPr>
        <w:spacing w:before="0"/>
        <w:ind w:left="173" w:right="0" w:firstLine="0"/>
        <w:jc w:val="left"/>
        <w:rPr>
          <w:b/>
          <w:sz w:val="24"/>
        </w:rPr>
      </w:pPr>
      <w:r>
        <w:rPr>
          <w:b/>
          <w:sz w:val="24"/>
          <w:u w:val="single"/>
        </w:rPr>
        <w:t>DESCRIZIONE</w:t>
      </w:r>
      <w:r>
        <w:rPr>
          <w:b/>
          <w:spacing w:val="-6"/>
          <w:sz w:val="24"/>
          <w:u w:val="single"/>
        </w:rPr>
        <w:t> </w:t>
      </w:r>
      <w:r>
        <w:rPr>
          <w:b/>
          <w:sz w:val="24"/>
          <w:u w:val="single"/>
        </w:rPr>
        <w:t>DEL</w:t>
      </w:r>
      <w:r>
        <w:rPr>
          <w:b/>
          <w:spacing w:val="-5"/>
          <w:sz w:val="24"/>
          <w:u w:val="single"/>
        </w:rPr>
        <w:t> </w:t>
      </w:r>
      <w:r>
        <w:rPr>
          <w:b/>
          <w:spacing w:val="-2"/>
          <w:sz w:val="24"/>
          <w:u w:val="single"/>
        </w:rPr>
        <w:t>PROGETTO</w:t>
      </w:r>
    </w:p>
    <w:p>
      <w:pPr>
        <w:spacing w:before="211"/>
        <w:ind w:left="250" w:right="0" w:firstLine="0"/>
        <w:jc w:val="left"/>
        <w:rPr>
          <w:b/>
          <w:sz w:val="24"/>
        </w:rPr>
      </w:pPr>
      <w:r>
        <w:rPr/>
        <mc:AlternateContent>
          <mc:Choice Requires="wps">
            <w:drawing>
              <wp:anchor distT="0" distB="0" distL="0" distR="0" allowOverlap="1" layoutInCell="1" locked="0" behindDoc="1" simplePos="0" relativeHeight="487547392">
                <wp:simplePos x="0" y="0"/>
                <wp:positionH relativeFrom="page">
                  <wp:posOffset>1178356</wp:posOffset>
                </wp:positionH>
                <wp:positionV relativeFrom="paragraph">
                  <wp:posOffset>126552</wp:posOffset>
                </wp:positionV>
                <wp:extent cx="5556250" cy="577850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556250" cy="5778500"/>
                        </a:xfrm>
                        <a:custGeom>
                          <a:avLst/>
                          <a:gdLst/>
                          <a:ahLst/>
                          <a:cxnLst/>
                          <a:rect l="l" t="t" r="r" b="b"/>
                          <a:pathLst>
                            <a:path w="5556250" h="5778500">
                              <a:moveTo>
                                <a:pt x="5556199" y="5771985"/>
                              </a:moveTo>
                              <a:lnTo>
                                <a:pt x="5550154" y="5771985"/>
                              </a:lnTo>
                              <a:lnTo>
                                <a:pt x="6096" y="5771985"/>
                              </a:lnTo>
                              <a:lnTo>
                                <a:pt x="0" y="5771985"/>
                              </a:lnTo>
                              <a:lnTo>
                                <a:pt x="0" y="5778068"/>
                              </a:lnTo>
                              <a:lnTo>
                                <a:pt x="6096" y="5778068"/>
                              </a:lnTo>
                              <a:lnTo>
                                <a:pt x="5550103" y="5778068"/>
                              </a:lnTo>
                              <a:lnTo>
                                <a:pt x="5556199" y="5778068"/>
                              </a:lnTo>
                              <a:lnTo>
                                <a:pt x="5556199" y="5771985"/>
                              </a:lnTo>
                              <a:close/>
                            </a:path>
                            <a:path w="5556250" h="5778500">
                              <a:moveTo>
                                <a:pt x="5556199" y="0"/>
                              </a:moveTo>
                              <a:lnTo>
                                <a:pt x="5550154" y="0"/>
                              </a:lnTo>
                              <a:lnTo>
                                <a:pt x="6096" y="0"/>
                              </a:lnTo>
                              <a:lnTo>
                                <a:pt x="0" y="0"/>
                              </a:lnTo>
                              <a:lnTo>
                                <a:pt x="0" y="6045"/>
                              </a:lnTo>
                              <a:lnTo>
                                <a:pt x="0" y="5771972"/>
                              </a:lnTo>
                              <a:lnTo>
                                <a:pt x="6096" y="5771972"/>
                              </a:lnTo>
                              <a:lnTo>
                                <a:pt x="6096" y="6096"/>
                              </a:lnTo>
                              <a:lnTo>
                                <a:pt x="5550103" y="6096"/>
                              </a:lnTo>
                              <a:lnTo>
                                <a:pt x="5550103" y="5771972"/>
                              </a:lnTo>
                              <a:lnTo>
                                <a:pt x="5556199" y="5771972"/>
                              </a:lnTo>
                              <a:lnTo>
                                <a:pt x="5556199" y="6096"/>
                              </a:lnTo>
                              <a:lnTo>
                                <a:pt x="55561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2.784004pt;margin-top:9.96476pt;width:437.5pt;height:455pt;mso-position-horizontal-relative:page;mso-position-vertical-relative:paragraph;z-index:-15769088" id="docshape2" coordorigin="1856,199" coordsize="8750,9100" path="m10606,9289l10596,9289,10596,9289,1865,9289,1856,9289,1856,9299,1865,9299,10596,9299,10596,9299,10606,9299,10606,9289xm10606,199l10596,199,10596,199,1865,199,1856,199,1856,209,1856,209,1856,9289,1865,9289,1865,209,10596,209,10596,9289,10606,9289,10606,209,10606,209,10606,199xe" filled="true" fillcolor="#000000" stroked="false">
                <v:path arrowok="t"/>
                <v:fill type="solid"/>
                <w10:wrap type="none"/>
              </v:shape>
            </w:pict>
          </mc:Fallback>
        </mc:AlternateContent>
      </w:r>
      <w:r>
        <w:rPr>
          <w:b/>
          <w:spacing w:val="-2"/>
          <w:sz w:val="24"/>
        </w:rPr>
        <w:t>Progetto</w:t>
      </w:r>
    </w:p>
    <w:p>
      <w:pPr>
        <w:pStyle w:val="BodyText"/>
        <w:spacing w:before="201"/>
        <w:ind w:left="250"/>
      </w:pPr>
      <w:r>
        <w:rPr/>
        <w:t>STATO</w:t>
      </w:r>
      <w:r>
        <w:rPr>
          <w:spacing w:val="-6"/>
        </w:rPr>
        <w:t> </w:t>
      </w:r>
      <w:r>
        <w:rPr>
          <w:spacing w:val="-2"/>
        </w:rPr>
        <w:t>DELL’ARTE</w:t>
      </w:r>
    </w:p>
    <w:p>
      <w:pPr>
        <w:pStyle w:val="BodyText"/>
        <w:spacing w:before="196"/>
        <w:ind w:left="250" w:right="107"/>
        <w:jc w:val="both"/>
      </w:pPr>
      <w:r>
        <w:rPr/>
        <w:t>Per biodiversità si intende la variabilità tra organismi viventi facenti parte di un sistema ecologico e può essere studiata a diversi livelli (Magurran, 2004). A livello</w:t>
      </w:r>
      <w:r>
        <w:rPr>
          <w:spacing w:val="40"/>
        </w:rPr>
        <w:t> </w:t>
      </w:r>
      <w:r>
        <w:rPr/>
        <w:t>di comunità la biodiversità sarà elevata tanto più elevato è il numero di specie che compongono la comunità stessa (</w:t>
      </w:r>
      <w:r>
        <w:rPr>
          <w:i/>
        </w:rPr>
        <w:t>richness</w:t>
      </w:r>
      <w:r>
        <w:rPr/>
        <w:t>) e tanto più la numerosità degli individui che compongono ciascuna specie è simile a quella delle altre (</w:t>
      </w:r>
      <w:r>
        <w:rPr>
          <w:i/>
        </w:rPr>
        <w:t>equitability</w:t>
      </w:r>
      <w:r>
        <w:rPr/>
        <w:t>); in altre parole, a parità di ricchezza, una comunità è tanto meno diversa quanto più è dominata da poche specie molto abbondanti.</w:t>
      </w:r>
    </w:p>
    <w:p>
      <w:pPr>
        <w:pStyle w:val="BodyText"/>
        <w:spacing w:before="201"/>
        <w:ind w:left="250" w:right="108"/>
        <w:jc w:val="both"/>
      </w:pPr>
      <w:r>
        <w:rPr/>
        <w:t>I parassiti sono una parte fondamentale dell’ecosistema capaci di stabilizzare le popolazioni ospite (Lafferty, 2014). D’altro canto, singole specie parassite possono essere coinvolte nel</w:t>
      </w:r>
      <w:r>
        <w:rPr>
          <w:spacing w:val="-1"/>
        </w:rPr>
        <w:t> </w:t>
      </w:r>
      <w:r>
        <w:rPr/>
        <w:t>declino</w:t>
      </w:r>
      <w:r>
        <w:rPr>
          <w:spacing w:val="-1"/>
        </w:rPr>
        <w:t> </w:t>
      </w:r>
      <w:r>
        <w:rPr/>
        <w:t>di popolazioni</w:t>
      </w:r>
      <w:r>
        <w:rPr>
          <w:spacing w:val="-3"/>
        </w:rPr>
        <w:t> </w:t>
      </w:r>
      <w:r>
        <w:rPr/>
        <w:t>selvatiche, specie</w:t>
      </w:r>
      <w:r>
        <w:rPr>
          <w:spacing w:val="-2"/>
        </w:rPr>
        <w:t> </w:t>
      </w:r>
      <w:r>
        <w:rPr/>
        <w:t>se dominano</w:t>
      </w:r>
      <w:r>
        <w:rPr>
          <w:spacing w:val="-1"/>
        </w:rPr>
        <w:t> </w:t>
      </w:r>
      <w:r>
        <w:rPr/>
        <w:t>biocenosi povere di parassiti (Stancampiano </w:t>
      </w:r>
      <w:r>
        <w:rPr>
          <w:i/>
        </w:rPr>
        <w:t>et al</w:t>
      </w:r>
      <w:r>
        <w:rPr/>
        <w:t>., 2019).</w:t>
      </w:r>
    </w:p>
    <w:p>
      <w:pPr>
        <w:pStyle w:val="BodyText"/>
        <w:spacing w:before="199"/>
        <w:ind w:left="250" w:right="104"/>
        <w:jc w:val="both"/>
      </w:pPr>
      <w:r>
        <w:rPr/>
        <w:t>Alcuni autori sostengono l’ipotesi che la biodiversità delle comunità parassitarie sia indice di salute degli ecosistemi (Marcogliese,</w:t>
      </w:r>
      <w:r>
        <w:rPr>
          <w:spacing w:val="-1"/>
        </w:rPr>
        <w:t> </w:t>
      </w:r>
      <w:r>
        <w:rPr/>
        <w:t>2005; Hudson </w:t>
      </w:r>
      <w:r>
        <w:rPr>
          <w:i/>
        </w:rPr>
        <w:t>et al</w:t>
      </w:r>
      <w:r>
        <w:rPr/>
        <w:t>., 2006; Johnson </w:t>
      </w:r>
      <w:r>
        <w:rPr>
          <w:i/>
        </w:rPr>
        <w:t>et al</w:t>
      </w:r>
      <w:r>
        <w:rPr/>
        <w:t>., 2013). Tale ipotesi necessita di conferme empiriche, in particolare in sistemi complessi che coinvolgono ospiti a vita libera. I parassiti, e in particolare gli elminti il cui ciclo è caratterizzato per gran parte da fasi ambientali a vita libera e/o in</w:t>
      </w:r>
      <w:r>
        <w:rPr>
          <w:spacing w:val="40"/>
        </w:rPr>
        <w:t> </w:t>
      </w:r>
      <w:r>
        <w:rPr/>
        <w:t>ospiti intermedi, sono fortemente influenzati dall’ambiente e dall’impatto antropico (Perrucci </w:t>
      </w:r>
      <w:r>
        <w:rPr>
          <w:i/>
        </w:rPr>
        <w:t>et al</w:t>
      </w:r>
      <w:r>
        <w:rPr/>
        <w:t>., 2023); l’impatto del clima, delle condizioni ambientali e di contaminanti ambientali è più evidente su parassiti con fasi a vita libera che sugli ospiti (Gagne </w:t>
      </w:r>
      <w:r>
        <w:rPr>
          <w:i/>
        </w:rPr>
        <w:t>et al</w:t>
      </w:r>
      <w:r>
        <w:rPr/>
        <w:t>., 2022); inoltre, essendo il ciclo di molti parassiti legato alle catene trofiche (erbivorismo, predatorismo), la loro presenza fornisce informazioni relative alle interazioni dell’ospite con il resto dell’ecosistema (Marcogliese, 2005). Lo studio delle comunità di parassiti potrebbe quindi essere un utile indicatore</w:t>
      </w:r>
      <w:r>
        <w:rPr>
          <w:spacing w:val="40"/>
        </w:rPr>
        <w:t> </w:t>
      </w:r>
      <w:r>
        <w:rPr/>
        <w:t>dello stato di salute dell’intero ecosistema, inteso come interazione tra componente fisica e biotica dell’ambiente di cui fanno parte.</w:t>
      </w:r>
    </w:p>
    <w:p>
      <w:pPr>
        <w:spacing w:after="0"/>
        <w:jc w:val="both"/>
        <w:sectPr>
          <w:headerReference w:type="default" r:id="rId5"/>
          <w:footerReference w:type="default" r:id="rId6"/>
          <w:type w:val="continuous"/>
          <w:pgSz w:w="11900" w:h="16850"/>
          <w:pgMar w:header="1424" w:footer="1042" w:top="3200" w:bottom="1240" w:left="1680" w:right="1260"/>
          <w:pgNumType w:start="1"/>
        </w:sectPr>
      </w:pPr>
    </w:p>
    <w:p>
      <w:pPr>
        <w:pStyle w:val="BodyText"/>
      </w:pPr>
      <w:r>
        <w:rPr/>
        <mc:AlternateContent>
          <mc:Choice Requires="wps">
            <w:drawing>
              <wp:anchor distT="0" distB="0" distL="0" distR="0" allowOverlap="1" layoutInCell="1" locked="0" behindDoc="1" simplePos="0" relativeHeight="487547904">
                <wp:simplePos x="0" y="0"/>
                <wp:positionH relativeFrom="page">
                  <wp:posOffset>1178356</wp:posOffset>
                </wp:positionH>
                <wp:positionV relativeFrom="page">
                  <wp:posOffset>2499613</wp:posOffset>
                </wp:positionV>
                <wp:extent cx="5556250" cy="736092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556250" cy="7360920"/>
                        </a:xfrm>
                        <a:custGeom>
                          <a:avLst/>
                          <a:gdLst/>
                          <a:ahLst/>
                          <a:cxnLst/>
                          <a:rect l="l" t="t" r="r" b="b"/>
                          <a:pathLst>
                            <a:path w="5556250" h="7360920">
                              <a:moveTo>
                                <a:pt x="6096" y="6172"/>
                              </a:moveTo>
                              <a:lnTo>
                                <a:pt x="0" y="6172"/>
                              </a:lnTo>
                              <a:lnTo>
                                <a:pt x="0" y="7354265"/>
                              </a:lnTo>
                              <a:lnTo>
                                <a:pt x="6096" y="7354265"/>
                              </a:lnTo>
                              <a:lnTo>
                                <a:pt x="6096" y="6172"/>
                              </a:lnTo>
                              <a:close/>
                            </a:path>
                            <a:path w="5556250" h="7360920">
                              <a:moveTo>
                                <a:pt x="5556199" y="7354278"/>
                              </a:moveTo>
                              <a:lnTo>
                                <a:pt x="5550154" y="7354278"/>
                              </a:lnTo>
                              <a:lnTo>
                                <a:pt x="6096" y="7354278"/>
                              </a:lnTo>
                              <a:lnTo>
                                <a:pt x="0" y="7354278"/>
                              </a:lnTo>
                              <a:lnTo>
                                <a:pt x="0" y="7360361"/>
                              </a:lnTo>
                              <a:lnTo>
                                <a:pt x="6096" y="7360361"/>
                              </a:lnTo>
                              <a:lnTo>
                                <a:pt x="5550103" y="7360361"/>
                              </a:lnTo>
                              <a:lnTo>
                                <a:pt x="5556199" y="7360361"/>
                              </a:lnTo>
                              <a:lnTo>
                                <a:pt x="5556199" y="7354278"/>
                              </a:lnTo>
                              <a:close/>
                            </a:path>
                            <a:path w="5556250" h="7360920">
                              <a:moveTo>
                                <a:pt x="5556199" y="6172"/>
                              </a:moveTo>
                              <a:lnTo>
                                <a:pt x="5550103" y="6172"/>
                              </a:lnTo>
                              <a:lnTo>
                                <a:pt x="5550103" y="7354265"/>
                              </a:lnTo>
                              <a:lnTo>
                                <a:pt x="5556199" y="7354265"/>
                              </a:lnTo>
                              <a:lnTo>
                                <a:pt x="5556199" y="6172"/>
                              </a:lnTo>
                              <a:close/>
                            </a:path>
                            <a:path w="5556250" h="7360920">
                              <a:moveTo>
                                <a:pt x="5556199" y="0"/>
                              </a:moveTo>
                              <a:lnTo>
                                <a:pt x="5550154" y="0"/>
                              </a:lnTo>
                              <a:lnTo>
                                <a:pt x="6096" y="0"/>
                              </a:lnTo>
                              <a:lnTo>
                                <a:pt x="0" y="0"/>
                              </a:lnTo>
                              <a:lnTo>
                                <a:pt x="0" y="6096"/>
                              </a:lnTo>
                              <a:lnTo>
                                <a:pt x="6096" y="6096"/>
                              </a:lnTo>
                              <a:lnTo>
                                <a:pt x="5550103" y="6096"/>
                              </a:lnTo>
                              <a:lnTo>
                                <a:pt x="5556199" y="6096"/>
                              </a:lnTo>
                              <a:lnTo>
                                <a:pt x="55561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2.784004pt;margin-top:196.819946pt;width:437.5pt;height:579.6pt;mso-position-horizontal-relative:page;mso-position-vertical-relative:page;z-index:-15768576" id="docshape3" coordorigin="1856,3936" coordsize="8750,11592" path="m1865,3946l1856,3946,1856,15518,1865,15518,1865,3946xm10606,15518l10596,15518,10596,15518,1865,15518,1856,15518,1856,15528,1865,15528,10596,15528,10596,15528,10606,15528,10606,15518xm10606,3946l10596,3946,10596,15518,10606,15518,10606,3946xm10606,3936l10596,3936,10596,3936,1865,3936,1856,3936,1856,3946,1865,3946,10596,3946,10596,3946,10606,3946,10606,3936xe" filled="true" fillcolor="#000000" stroked="false">
                <v:path arrowok="t"/>
                <v:fill type="solid"/>
                <w10:wrap type="none"/>
              </v:shape>
            </w:pict>
          </mc:Fallback>
        </mc:AlternateContent>
      </w:r>
    </w:p>
    <w:p>
      <w:pPr>
        <w:pStyle w:val="BodyText"/>
        <w:spacing w:before="168"/>
      </w:pPr>
    </w:p>
    <w:p>
      <w:pPr>
        <w:pStyle w:val="BodyText"/>
        <w:ind w:left="250"/>
      </w:pPr>
      <w:r>
        <w:rPr/>
        <w:t>DESCRIZIONE</w:t>
      </w:r>
      <w:r>
        <w:rPr>
          <w:spacing w:val="-6"/>
        </w:rPr>
        <w:t> </w:t>
      </w:r>
      <w:r>
        <w:rPr/>
        <w:t>DEL</w:t>
      </w:r>
      <w:r>
        <w:rPr>
          <w:spacing w:val="-5"/>
        </w:rPr>
        <w:t> </w:t>
      </w:r>
      <w:r>
        <w:rPr>
          <w:spacing w:val="-2"/>
        </w:rPr>
        <w:t>PROGETTO</w:t>
      </w:r>
    </w:p>
    <w:p>
      <w:pPr>
        <w:pStyle w:val="BodyText"/>
        <w:spacing w:before="196"/>
        <w:ind w:left="250" w:right="104"/>
        <w:jc w:val="both"/>
      </w:pPr>
      <w:r>
        <w:rPr/>
        <w:t>Il progetto prevede lo studio delle comunità elmintiche in popolazioni a vita libera di </w:t>
      </w:r>
      <w:r>
        <w:rPr>
          <w:i/>
        </w:rPr>
        <w:t>Lepus europaeus</w:t>
      </w:r>
      <w:r>
        <w:rPr/>
        <w:t>, in diverse condizioni ambientali, provenienti da aree di pianura (in cui è più intensa l’agricoltura e la lepre è in declino) e collinari (in cui la popolazione è più stabile). Scopo principale è mettere in relazione ambiente (uso</w:t>
      </w:r>
      <w:r>
        <w:rPr>
          <w:spacing w:val="40"/>
        </w:rPr>
        <w:t> </w:t>
      </w:r>
      <w:r>
        <w:rPr/>
        <w:t>del</w:t>
      </w:r>
      <w:r>
        <w:rPr>
          <w:spacing w:val="-4"/>
        </w:rPr>
        <w:t> </w:t>
      </w:r>
      <w:r>
        <w:rPr/>
        <w:t>territorio,</w:t>
      </w:r>
      <w:r>
        <w:rPr>
          <w:spacing w:val="-2"/>
        </w:rPr>
        <w:t> </w:t>
      </w:r>
      <w:r>
        <w:rPr/>
        <w:t>clima,</w:t>
      </w:r>
      <w:r>
        <w:rPr>
          <w:spacing w:val="-3"/>
        </w:rPr>
        <w:t> </w:t>
      </w:r>
      <w:r>
        <w:rPr/>
        <w:t>ecc.),</w:t>
      </w:r>
      <w:r>
        <w:rPr>
          <w:spacing w:val="-3"/>
        </w:rPr>
        <w:t> </w:t>
      </w:r>
      <w:r>
        <w:rPr/>
        <w:t>popolazioni</w:t>
      </w:r>
      <w:r>
        <w:rPr>
          <w:spacing w:val="-4"/>
        </w:rPr>
        <w:t> </w:t>
      </w:r>
      <w:r>
        <w:rPr/>
        <w:t>ospite</w:t>
      </w:r>
      <w:r>
        <w:rPr>
          <w:spacing w:val="-3"/>
        </w:rPr>
        <w:t> </w:t>
      </w:r>
      <w:r>
        <w:rPr/>
        <w:t>(densità,</w:t>
      </w:r>
      <w:r>
        <w:rPr>
          <w:spacing w:val="-2"/>
        </w:rPr>
        <w:t> </w:t>
      </w:r>
      <w:r>
        <w:rPr/>
        <w:t>dinamica)</w:t>
      </w:r>
      <w:r>
        <w:rPr>
          <w:spacing w:val="-4"/>
        </w:rPr>
        <w:t> </w:t>
      </w:r>
      <w:r>
        <w:rPr/>
        <w:t>e</w:t>
      </w:r>
      <w:r>
        <w:rPr>
          <w:spacing w:val="-3"/>
        </w:rPr>
        <w:t> </w:t>
      </w:r>
      <w:r>
        <w:rPr/>
        <w:t>biodiversità</w:t>
      </w:r>
      <w:r>
        <w:rPr>
          <w:spacing w:val="-4"/>
        </w:rPr>
        <w:t> </w:t>
      </w:r>
      <w:r>
        <w:rPr/>
        <w:t>delle comunità di parassiti, misurata con vari indici ecologici (</w:t>
      </w:r>
      <w:r>
        <w:rPr>
          <w:i/>
        </w:rPr>
        <w:t>Shannon diversity index</w:t>
      </w:r>
      <w:r>
        <w:rPr/>
        <w:t>, </w:t>
      </w:r>
      <w:r>
        <w:rPr>
          <w:i/>
        </w:rPr>
        <w:t>Simpson’s index</w:t>
      </w:r>
      <w:r>
        <w:rPr/>
        <w:t>). Parte dei campioni da analizzare è già disponibile, permettendo in tal modo un immediato inizio dei lavori.</w:t>
      </w:r>
    </w:p>
    <w:p>
      <w:pPr>
        <w:pStyle w:val="BodyText"/>
        <w:spacing w:before="200"/>
        <w:ind w:left="250" w:right="105"/>
        <w:jc w:val="both"/>
      </w:pPr>
      <w:r>
        <w:rPr/>
        <w:t>Verranno isolati elminti gastrointestinali e broncopolmonari. Ove possibile, la ricerca dei parassiti sarà integrata da esami patologici ed istologici atti a verificare lo</w:t>
      </w:r>
      <w:r>
        <w:rPr>
          <w:spacing w:val="-2"/>
        </w:rPr>
        <w:t> </w:t>
      </w:r>
      <w:r>
        <w:rPr/>
        <w:t>stato</w:t>
      </w:r>
      <w:r>
        <w:rPr>
          <w:spacing w:val="-1"/>
        </w:rPr>
        <w:t> </w:t>
      </w:r>
      <w:r>
        <w:rPr/>
        <w:t>di</w:t>
      </w:r>
      <w:r>
        <w:rPr>
          <w:spacing w:val="-1"/>
        </w:rPr>
        <w:t> </w:t>
      </w:r>
      <w:r>
        <w:rPr/>
        <w:t>salute</w:t>
      </w:r>
      <w:r>
        <w:rPr>
          <w:spacing w:val="-1"/>
        </w:rPr>
        <w:t> </w:t>
      </w:r>
      <w:r>
        <w:rPr/>
        <w:t>degli</w:t>
      </w:r>
      <w:r>
        <w:rPr>
          <w:spacing w:val="-1"/>
        </w:rPr>
        <w:t> </w:t>
      </w:r>
      <w:r>
        <w:rPr/>
        <w:t>ospiti.</w:t>
      </w:r>
      <w:r>
        <w:rPr>
          <w:spacing w:val="-2"/>
        </w:rPr>
        <w:t> </w:t>
      </w:r>
      <w:r>
        <w:rPr/>
        <w:t>Si</w:t>
      </w:r>
      <w:r>
        <w:rPr>
          <w:spacing w:val="-1"/>
        </w:rPr>
        <w:t> </w:t>
      </w:r>
      <w:r>
        <w:rPr/>
        <w:t>avrà</w:t>
      </w:r>
      <w:r>
        <w:rPr>
          <w:spacing w:val="-1"/>
        </w:rPr>
        <w:t> </w:t>
      </w:r>
      <w:r>
        <w:rPr/>
        <w:t>inoltre</w:t>
      </w:r>
      <w:r>
        <w:rPr>
          <w:spacing w:val="-3"/>
        </w:rPr>
        <w:t> </w:t>
      </w:r>
      <w:r>
        <w:rPr/>
        <w:t>cura</w:t>
      </w:r>
      <w:r>
        <w:rPr>
          <w:spacing w:val="-1"/>
        </w:rPr>
        <w:t> </w:t>
      </w:r>
      <w:r>
        <w:rPr/>
        <w:t>di</w:t>
      </w:r>
      <w:r>
        <w:rPr>
          <w:spacing w:val="-1"/>
        </w:rPr>
        <w:t> </w:t>
      </w:r>
      <w:r>
        <w:rPr/>
        <w:t>conservare i</w:t>
      </w:r>
      <w:r>
        <w:rPr>
          <w:spacing w:val="-3"/>
        </w:rPr>
        <w:t> </w:t>
      </w:r>
      <w:r>
        <w:rPr/>
        <w:t>parassiti</w:t>
      </w:r>
      <w:r>
        <w:rPr>
          <w:spacing w:val="-1"/>
        </w:rPr>
        <w:t> </w:t>
      </w:r>
      <w:r>
        <w:rPr/>
        <w:t>congelati</w:t>
      </w:r>
      <w:r>
        <w:rPr>
          <w:spacing w:val="-3"/>
        </w:rPr>
        <w:t> </w:t>
      </w:r>
      <w:r>
        <w:rPr/>
        <w:t>o in alcool per eventuali approfondimenti molecolari.</w:t>
      </w:r>
    </w:p>
    <w:p>
      <w:pPr>
        <w:pStyle w:val="BodyText"/>
        <w:spacing w:before="202"/>
        <w:ind w:left="250" w:right="104"/>
        <w:jc w:val="both"/>
      </w:pPr>
      <w:r>
        <w:rPr/>
        <w:t>I parassiti verranno quindi identificati, sessati e contati. I risultati verranno analizzati grazie a metodiche statistiche multiple (generalized linear models) e multivariate (analisi discriminante, cluster analysis, principal component analysis), in collaborazione con l’assegnista. Tali analisi permetteranno di evidenziare eventuali legami tra biodiversità delle comunità di parassiti e variabili ambientali (altitudine, presenza di agricoltura intensive, ecc.), di popolazione (densità dell’ospite) e dei singoli individui ospiti (sesso, età, peso).</w:t>
      </w:r>
    </w:p>
    <w:p>
      <w:pPr>
        <w:pStyle w:val="BodyText"/>
        <w:spacing w:before="200"/>
        <w:ind w:left="250" w:right="105"/>
        <w:jc w:val="both"/>
      </w:pPr>
      <w:r>
        <w:rPr/>
        <w:t>I risultati ottenuti permetteranno di verificare la solidità dell’ipotesi secondo la quale</w:t>
      </w:r>
      <w:r>
        <w:rPr>
          <w:spacing w:val="-2"/>
        </w:rPr>
        <w:t> </w:t>
      </w:r>
      <w:r>
        <w:rPr/>
        <w:t>ecosistemi</w:t>
      </w:r>
      <w:r>
        <w:rPr>
          <w:spacing w:val="-4"/>
        </w:rPr>
        <w:t> </w:t>
      </w:r>
      <w:r>
        <w:rPr/>
        <w:t>e</w:t>
      </w:r>
      <w:r>
        <w:rPr>
          <w:spacing w:val="-4"/>
        </w:rPr>
        <w:t> </w:t>
      </w:r>
      <w:r>
        <w:rPr/>
        <w:t>popolazioni</w:t>
      </w:r>
      <w:r>
        <w:rPr>
          <w:spacing w:val="-1"/>
        </w:rPr>
        <w:t> </w:t>
      </w:r>
      <w:r>
        <w:rPr/>
        <w:t>selvatiche</w:t>
      </w:r>
      <w:r>
        <w:rPr>
          <w:spacing w:val="-2"/>
        </w:rPr>
        <w:t> </w:t>
      </w:r>
      <w:r>
        <w:rPr/>
        <w:t>in</w:t>
      </w:r>
      <w:r>
        <w:rPr>
          <w:spacing w:val="-4"/>
        </w:rPr>
        <w:t> </w:t>
      </w:r>
      <w:r>
        <w:rPr/>
        <w:t>buono stato</w:t>
      </w:r>
      <w:r>
        <w:rPr>
          <w:spacing w:val="-2"/>
        </w:rPr>
        <w:t> </w:t>
      </w:r>
      <w:r>
        <w:rPr/>
        <w:t>di</w:t>
      </w:r>
      <w:r>
        <w:rPr>
          <w:spacing w:val="-2"/>
        </w:rPr>
        <w:t> </w:t>
      </w:r>
      <w:r>
        <w:rPr/>
        <w:t>salute</w:t>
      </w:r>
      <w:r>
        <w:rPr>
          <w:spacing w:val="-3"/>
        </w:rPr>
        <w:t> </w:t>
      </w:r>
      <w:r>
        <w:rPr/>
        <w:t>ospitino</w:t>
      </w:r>
      <w:r>
        <w:rPr>
          <w:spacing w:val="-1"/>
        </w:rPr>
        <w:t> </w:t>
      </w:r>
      <w:r>
        <w:rPr/>
        <w:t>biocenosi parassitarie ricche e diversificate. Le informazioni ottenute saranno quindi condivise con gli enti di</w:t>
      </w:r>
      <w:r>
        <w:rPr>
          <w:spacing w:val="-1"/>
        </w:rPr>
        <w:t> </w:t>
      </w:r>
      <w:r>
        <w:rPr/>
        <w:t>gestione al fine</w:t>
      </w:r>
      <w:r>
        <w:rPr>
          <w:spacing w:val="-1"/>
        </w:rPr>
        <w:t> </w:t>
      </w:r>
      <w:r>
        <w:rPr/>
        <w:t>di migliorare la gestione stessa, favorendo il mantenimento dell’equilibrio e della biodiversità degli ecosistemi.</w:t>
      </w:r>
    </w:p>
    <w:p>
      <w:pPr>
        <w:pStyle w:val="BodyText"/>
      </w:pPr>
    </w:p>
    <w:p>
      <w:pPr>
        <w:pStyle w:val="BodyText"/>
        <w:spacing w:before="122"/>
      </w:pPr>
    </w:p>
    <w:p>
      <w:pPr>
        <w:pStyle w:val="BodyText"/>
        <w:ind w:left="250"/>
      </w:pPr>
      <w:r>
        <w:rPr>
          <w:spacing w:val="-2"/>
        </w:rPr>
        <w:t>BIBLIOGRAFIA</w:t>
      </w:r>
    </w:p>
    <w:p>
      <w:pPr>
        <w:pStyle w:val="ListParagraph"/>
        <w:numPr>
          <w:ilvl w:val="0"/>
          <w:numId w:val="1"/>
        </w:numPr>
        <w:tabs>
          <w:tab w:pos="970" w:val="left" w:leader="none"/>
        </w:tabs>
        <w:spacing w:line="240" w:lineRule="auto" w:before="197" w:after="0"/>
        <w:ind w:left="970" w:right="107" w:hanging="360"/>
        <w:jc w:val="both"/>
        <w:rPr>
          <w:sz w:val="24"/>
        </w:rPr>
      </w:pPr>
      <w:r>
        <w:rPr>
          <w:sz w:val="24"/>
        </w:rPr>
        <w:t>Gagne R.B., Crooks K.R., Craft M.E., Chiu E.S., Fountain-Jones N.M., Malberg J.L., Carver S., Funk W.C., VandeWoude S. (2022). Parasites as conservation tools. </w:t>
      </w:r>
      <w:r>
        <w:rPr>
          <w:i/>
          <w:sz w:val="24"/>
        </w:rPr>
        <w:t>Conservation Biology</w:t>
      </w:r>
      <w:r>
        <w:rPr>
          <w:sz w:val="24"/>
        </w:rPr>
        <w:t>. </w:t>
      </w:r>
      <w:r>
        <w:rPr>
          <w:b/>
          <w:sz w:val="24"/>
        </w:rPr>
        <w:t>36</w:t>
      </w:r>
      <w:r>
        <w:rPr>
          <w:sz w:val="24"/>
        </w:rPr>
        <w:t>: e13719.</w:t>
      </w:r>
    </w:p>
    <w:p>
      <w:pPr>
        <w:pStyle w:val="ListParagraph"/>
        <w:numPr>
          <w:ilvl w:val="0"/>
          <w:numId w:val="1"/>
        </w:numPr>
        <w:tabs>
          <w:tab w:pos="970" w:val="left" w:leader="none"/>
        </w:tabs>
        <w:spacing w:line="240" w:lineRule="auto" w:before="0" w:after="0"/>
        <w:ind w:left="970" w:right="114" w:hanging="360"/>
        <w:jc w:val="both"/>
        <w:rPr>
          <w:sz w:val="24"/>
        </w:rPr>
      </w:pPr>
      <w:r>
        <w:rPr>
          <w:sz w:val="24"/>
        </w:rPr>
        <w:t>Hudson P.J., Dobson A.P., Lafferty K.D. (2006). Is a healthy ecosystem one</w:t>
      </w:r>
      <w:r>
        <w:rPr>
          <w:spacing w:val="40"/>
          <w:sz w:val="24"/>
        </w:rPr>
        <w:t> </w:t>
      </w:r>
      <w:r>
        <w:rPr>
          <w:sz w:val="24"/>
        </w:rPr>
        <w:t>that is rich of parasites? </w:t>
      </w:r>
      <w:r>
        <w:rPr>
          <w:i/>
          <w:sz w:val="24"/>
        </w:rPr>
        <w:t>Trends in ecology and evolution. </w:t>
      </w:r>
      <w:r>
        <w:rPr>
          <w:b/>
          <w:sz w:val="24"/>
        </w:rPr>
        <w:t>21</w:t>
      </w:r>
      <w:r>
        <w:rPr>
          <w:sz w:val="24"/>
        </w:rPr>
        <w:t>(7): 381-385.</w:t>
      </w:r>
    </w:p>
    <w:p>
      <w:pPr>
        <w:pStyle w:val="ListParagraph"/>
        <w:numPr>
          <w:ilvl w:val="0"/>
          <w:numId w:val="1"/>
        </w:numPr>
        <w:tabs>
          <w:tab w:pos="970" w:val="left" w:leader="none"/>
        </w:tabs>
        <w:spacing w:line="240" w:lineRule="auto" w:before="0" w:after="0"/>
        <w:ind w:left="970" w:right="103" w:hanging="360"/>
        <w:jc w:val="both"/>
        <w:rPr>
          <w:sz w:val="24"/>
        </w:rPr>
      </w:pPr>
      <w:r>
        <w:rPr>
          <w:sz w:val="24"/>
        </w:rPr>
        <w:t>Johnson P.T.J., Preston D.L., Hoverman J.T., LaFonte B.E. (2013). Host and parasite diversity jointly control disease risk in complex communities. </w:t>
      </w:r>
      <w:r>
        <w:rPr>
          <w:i/>
          <w:sz w:val="24"/>
        </w:rPr>
        <w:t>Proceedings of the National Academy of Sciences of the United States of America</w:t>
      </w:r>
      <w:r>
        <w:rPr>
          <w:sz w:val="24"/>
        </w:rPr>
        <w:t>. </w:t>
      </w:r>
      <w:r>
        <w:rPr>
          <w:b/>
          <w:sz w:val="24"/>
        </w:rPr>
        <w:t>110</w:t>
      </w:r>
      <w:r>
        <w:rPr>
          <w:sz w:val="24"/>
        </w:rPr>
        <w:t>(42): 16916-16921.</w:t>
      </w:r>
    </w:p>
    <w:p>
      <w:pPr>
        <w:spacing w:after="0" w:line="240" w:lineRule="auto"/>
        <w:jc w:val="both"/>
        <w:rPr>
          <w:sz w:val="24"/>
        </w:rPr>
        <w:sectPr>
          <w:pgSz w:w="11900" w:h="16850"/>
          <w:pgMar w:header="1424" w:footer="1042" w:top="3200" w:bottom="1240" w:left="1680" w:right="1260"/>
        </w:sectPr>
      </w:pPr>
    </w:p>
    <w:p>
      <w:pPr>
        <w:pStyle w:val="BodyText"/>
      </w:pPr>
    </w:p>
    <w:p>
      <w:pPr>
        <w:pStyle w:val="BodyText"/>
        <w:spacing w:before="164"/>
      </w:pPr>
    </w:p>
    <w:p>
      <w:pPr>
        <w:pStyle w:val="ListParagraph"/>
        <w:numPr>
          <w:ilvl w:val="0"/>
          <w:numId w:val="1"/>
        </w:numPr>
        <w:tabs>
          <w:tab w:pos="970" w:val="left" w:leader="none"/>
        </w:tabs>
        <w:spacing w:line="240" w:lineRule="auto" w:before="0" w:after="0"/>
        <w:ind w:left="970" w:right="109" w:hanging="360"/>
        <w:jc w:val="both"/>
        <w:rPr>
          <w:sz w:val="24"/>
        </w:rPr>
      </w:pPr>
      <w:r>
        <w:rPr/>
        <mc:AlternateContent>
          <mc:Choice Requires="wps">
            <w:drawing>
              <wp:anchor distT="0" distB="0" distL="0" distR="0" allowOverlap="1" layoutInCell="1" locked="0" behindDoc="1" simplePos="0" relativeHeight="487548416">
                <wp:simplePos x="0" y="0"/>
                <wp:positionH relativeFrom="page">
                  <wp:posOffset>1178356</wp:posOffset>
                </wp:positionH>
                <wp:positionV relativeFrom="paragraph">
                  <wp:posOffset>-6470</wp:posOffset>
                </wp:positionV>
                <wp:extent cx="5556250" cy="52971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556250" cy="5297170"/>
                        </a:xfrm>
                        <a:custGeom>
                          <a:avLst/>
                          <a:gdLst/>
                          <a:ahLst/>
                          <a:cxnLst/>
                          <a:rect l="l" t="t" r="r" b="b"/>
                          <a:pathLst>
                            <a:path w="5556250" h="5297170">
                              <a:moveTo>
                                <a:pt x="6096" y="6223"/>
                              </a:moveTo>
                              <a:lnTo>
                                <a:pt x="0" y="6223"/>
                              </a:lnTo>
                              <a:lnTo>
                                <a:pt x="0" y="5290820"/>
                              </a:lnTo>
                              <a:lnTo>
                                <a:pt x="6096" y="5290820"/>
                              </a:lnTo>
                              <a:lnTo>
                                <a:pt x="6096" y="6223"/>
                              </a:lnTo>
                              <a:close/>
                            </a:path>
                            <a:path w="5556250" h="5297170">
                              <a:moveTo>
                                <a:pt x="5556199" y="5290832"/>
                              </a:moveTo>
                              <a:lnTo>
                                <a:pt x="5550154" y="5290832"/>
                              </a:lnTo>
                              <a:lnTo>
                                <a:pt x="6096" y="5290832"/>
                              </a:lnTo>
                              <a:lnTo>
                                <a:pt x="0" y="5290832"/>
                              </a:lnTo>
                              <a:lnTo>
                                <a:pt x="0" y="5296916"/>
                              </a:lnTo>
                              <a:lnTo>
                                <a:pt x="6096" y="5296916"/>
                              </a:lnTo>
                              <a:lnTo>
                                <a:pt x="5550103" y="5296916"/>
                              </a:lnTo>
                              <a:lnTo>
                                <a:pt x="5556199" y="5296916"/>
                              </a:lnTo>
                              <a:lnTo>
                                <a:pt x="5556199" y="5290832"/>
                              </a:lnTo>
                              <a:close/>
                            </a:path>
                            <a:path w="5556250" h="5297170">
                              <a:moveTo>
                                <a:pt x="5556199" y="6223"/>
                              </a:moveTo>
                              <a:lnTo>
                                <a:pt x="5550103" y="6223"/>
                              </a:lnTo>
                              <a:lnTo>
                                <a:pt x="5550103" y="5290820"/>
                              </a:lnTo>
                              <a:lnTo>
                                <a:pt x="5556199" y="5290820"/>
                              </a:lnTo>
                              <a:lnTo>
                                <a:pt x="5556199" y="6223"/>
                              </a:lnTo>
                              <a:close/>
                            </a:path>
                            <a:path w="5556250" h="5297170">
                              <a:moveTo>
                                <a:pt x="5556199" y="0"/>
                              </a:moveTo>
                              <a:lnTo>
                                <a:pt x="5550154" y="0"/>
                              </a:lnTo>
                              <a:lnTo>
                                <a:pt x="6096" y="0"/>
                              </a:lnTo>
                              <a:lnTo>
                                <a:pt x="0" y="0"/>
                              </a:lnTo>
                              <a:lnTo>
                                <a:pt x="0" y="6096"/>
                              </a:lnTo>
                              <a:lnTo>
                                <a:pt x="6096" y="6096"/>
                              </a:lnTo>
                              <a:lnTo>
                                <a:pt x="5550103" y="6096"/>
                              </a:lnTo>
                              <a:lnTo>
                                <a:pt x="5556199" y="6096"/>
                              </a:lnTo>
                              <a:lnTo>
                                <a:pt x="55561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2.784004pt;margin-top:-.509465pt;width:437.5pt;height:417.1pt;mso-position-horizontal-relative:page;mso-position-vertical-relative:paragraph;z-index:-15768064" id="docshape4" coordorigin="1856,-10" coordsize="8750,8342" path="m1865,0l1856,0,1856,8322,1865,8322,1865,0xm10606,8322l10596,8322,10596,8322,1865,8322,1856,8322,1856,8331,1865,8331,10596,8331,10596,8331,10606,8331,10606,8322xm10606,0l10596,0,10596,8322,10606,8322,10606,0xm10606,-10l10596,-10,10596,-10,1865,-10,1856,-10,1856,-1,1865,-1,10596,-1,10596,-1,10606,-1,10606,-10xe" filled="true" fillcolor="#000000" stroked="false">
                <v:path arrowok="t"/>
                <v:fill type="solid"/>
                <w10:wrap type="none"/>
              </v:shape>
            </w:pict>
          </mc:Fallback>
        </mc:AlternateContent>
      </w:r>
      <w:r>
        <w:rPr>
          <w:sz w:val="24"/>
        </w:rPr>
        <w:t>Lafferty K.D. (2014). Biodiversity loss and infectious diseases In: Verdade L., Lyra-Jotge M., Piña C. (ed.) </w:t>
      </w:r>
      <w:r>
        <w:rPr>
          <w:i/>
          <w:sz w:val="24"/>
        </w:rPr>
        <w:t>Applied ecology and human dimensions in biological conservation</w:t>
      </w:r>
      <w:r>
        <w:rPr>
          <w:sz w:val="24"/>
        </w:rPr>
        <w:t>. Springer, Berlin, Heidelberg.</w:t>
      </w:r>
    </w:p>
    <w:p>
      <w:pPr>
        <w:pStyle w:val="ListParagraph"/>
        <w:numPr>
          <w:ilvl w:val="0"/>
          <w:numId w:val="1"/>
        </w:numPr>
        <w:tabs>
          <w:tab w:pos="970" w:val="left" w:leader="none"/>
        </w:tabs>
        <w:spacing w:line="240" w:lineRule="auto" w:before="2" w:after="0"/>
        <w:ind w:left="970" w:right="106" w:hanging="360"/>
        <w:jc w:val="both"/>
        <w:rPr>
          <w:sz w:val="24"/>
        </w:rPr>
      </w:pPr>
      <w:r>
        <w:rPr>
          <w:sz w:val="24"/>
        </w:rPr>
        <w:t>Magurran A.E. (2004). </w:t>
      </w:r>
      <w:r>
        <w:rPr>
          <w:i/>
          <w:sz w:val="24"/>
        </w:rPr>
        <w:t>Measuring biological diversity</w:t>
      </w:r>
      <w:r>
        <w:rPr>
          <w:sz w:val="24"/>
        </w:rPr>
        <w:t>. Blackwell Publishing, Oxford (UK).</w:t>
      </w:r>
    </w:p>
    <w:p>
      <w:pPr>
        <w:pStyle w:val="ListParagraph"/>
        <w:numPr>
          <w:ilvl w:val="0"/>
          <w:numId w:val="1"/>
        </w:numPr>
        <w:tabs>
          <w:tab w:pos="970" w:val="left" w:leader="none"/>
        </w:tabs>
        <w:spacing w:line="240" w:lineRule="auto" w:before="1" w:after="0"/>
        <w:ind w:left="970" w:right="106" w:hanging="360"/>
        <w:jc w:val="both"/>
        <w:rPr>
          <w:sz w:val="24"/>
        </w:rPr>
      </w:pPr>
      <w:r>
        <w:rPr>
          <w:sz w:val="24"/>
        </w:rPr>
        <w:t>Marcogliese D.J. (2005). Parasites of the superorganism: are they indicators of ecosystem health? </w:t>
      </w:r>
      <w:r>
        <w:rPr>
          <w:i/>
          <w:sz w:val="24"/>
        </w:rPr>
        <w:t>International Journal for Parasitology</w:t>
      </w:r>
      <w:r>
        <w:rPr>
          <w:sz w:val="24"/>
        </w:rPr>
        <w:t>. </w:t>
      </w:r>
      <w:r>
        <w:rPr>
          <w:b/>
          <w:sz w:val="24"/>
        </w:rPr>
        <w:t>35</w:t>
      </w:r>
      <w:r>
        <w:rPr>
          <w:sz w:val="24"/>
        </w:rPr>
        <w:t>:705-716.</w:t>
      </w:r>
    </w:p>
    <w:p>
      <w:pPr>
        <w:pStyle w:val="ListParagraph"/>
        <w:numPr>
          <w:ilvl w:val="0"/>
          <w:numId w:val="1"/>
        </w:numPr>
        <w:tabs>
          <w:tab w:pos="970" w:val="left" w:leader="none"/>
        </w:tabs>
        <w:spacing w:line="240" w:lineRule="auto" w:before="0" w:after="0"/>
        <w:ind w:left="970" w:right="107" w:hanging="360"/>
        <w:jc w:val="both"/>
        <w:rPr>
          <w:sz w:val="24"/>
        </w:rPr>
      </w:pPr>
      <w:r>
        <w:rPr>
          <w:sz w:val="24"/>
        </w:rPr>
        <w:t>Perrucci S., Maestrini M., Coppola F., Di Marco M., Di Rosso A., Pacini M.I., Zintu P., Felicioli A. (2023). Gray Wolf (</w:t>
      </w:r>
      <w:r>
        <w:rPr>
          <w:i/>
          <w:sz w:val="24"/>
        </w:rPr>
        <w:t>Canis lupus italicus</w:t>
      </w:r>
      <w:r>
        <w:rPr>
          <w:sz w:val="24"/>
        </w:rPr>
        <w:t>) and Red Fox (</w:t>
      </w:r>
      <w:r>
        <w:rPr>
          <w:i/>
          <w:sz w:val="24"/>
        </w:rPr>
        <w:t>Vulpes vulpes</w:t>
      </w:r>
      <w:r>
        <w:rPr>
          <w:sz w:val="24"/>
        </w:rPr>
        <w:t>) parasite survey in anthropized and natural areas of Central Italy. V</w:t>
      </w:r>
      <w:r>
        <w:rPr>
          <w:i/>
          <w:sz w:val="24"/>
        </w:rPr>
        <w:t>eterinary Sciences</w:t>
      </w:r>
      <w:r>
        <w:rPr>
          <w:sz w:val="24"/>
        </w:rPr>
        <w:t>. </w:t>
      </w:r>
      <w:r>
        <w:rPr>
          <w:b/>
          <w:sz w:val="24"/>
        </w:rPr>
        <w:t>10</w:t>
      </w:r>
      <w:r>
        <w:rPr>
          <w:sz w:val="24"/>
        </w:rPr>
        <w:t>: 108.</w:t>
      </w:r>
    </w:p>
    <w:p>
      <w:pPr>
        <w:pStyle w:val="ListParagraph"/>
        <w:numPr>
          <w:ilvl w:val="0"/>
          <w:numId w:val="1"/>
        </w:numPr>
        <w:tabs>
          <w:tab w:pos="970" w:val="left" w:leader="none"/>
        </w:tabs>
        <w:spacing w:line="240" w:lineRule="auto" w:before="0" w:after="0"/>
        <w:ind w:left="970" w:right="103" w:hanging="360"/>
        <w:jc w:val="both"/>
        <w:rPr>
          <w:sz w:val="24"/>
        </w:rPr>
      </w:pPr>
      <w:r>
        <w:rPr>
          <w:sz w:val="24"/>
        </w:rPr>
        <w:t>Stancampiano</w:t>
      </w:r>
      <w:r>
        <w:rPr>
          <w:spacing w:val="-4"/>
          <w:sz w:val="24"/>
        </w:rPr>
        <w:t> </w:t>
      </w:r>
      <w:r>
        <w:rPr>
          <w:sz w:val="24"/>
        </w:rPr>
        <w:t>L.,</w:t>
      </w:r>
      <w:r>
        <w:rPr>
          <w:spacing w:val="-4"/>
          <w:sz w:val="24"/>
        </w:rPr>
        <w:t> </w:t>
      </w:r>
      <w:r>
        <w:rPr>
          <w:sz w:val="24"/>
        </w:rPr>
        <w:t>Ravagnan</w:t>
      </w:r>
      <w:r>
        <w:rPr>
          <w:spacing w:val="-4"/>
          <w:sz w:val="24"/>
        </w:rPr>
        <w:t> </w:t>
      </w:r>
      <w:r>
        <w:rPr>
          <w:sz w:val="24"/>
        </w:rPr>
        <w:t>S.,</w:t>
      </w:r>
      <w:r>
        <w:rPr>
          <w:spacing w:val="-4"/>
          <w:sz w:val="24"/>
        </w:rPr>
        <w:t> </w:t>
      </w:r>
      <w:r>
        <w:rPr>
          <w:sz w:val="24"/>
        </w:rPr>
        <w:t>Capelli</w:t>
      </w:r>
      <w:r>
        <w:rPr>
          <w:spacing w:val="-5"/>
          <w:sz w:val="24"/>
        </w:rPr>
        <w:t> </w:t>
      </w:r>
      <w:r>
        <w:rPr>
          <w:sz w:val="24"/>
        </w:rPr>
        <w:t>G.,</w:t>
      </w:r>
      <w:r>
        <w:rPr>
          <w:spacing w:val="-4"/>
          <w:sz w:val="24"/>
        </w:rPr>
        <w:t> </w:t>
      </w:r>
      <w:r>
        <w:rPr>
          <w:sz w:val="24"/>
        </w:rPr>
        <w:t>Militerno</w:t>
      </w:r>
      <w:r>
        <w:rPr>
          <w:spacing w:val="-4"/>
          <w:sz w:val="24"/>
        </w:rPr>
        <w:t> </w:t>
      </w:r>
      <w:r>
        <w:rPr>
          <w:sz w:val="24"/>
        </w:rPr>
        <w:t>G.</w:t>
      </w:r>
      <w:r>
        <w:rPr>
          <w:spacing w:val="-4"/>
          <w:sz w:val="24"/>
        </w:rPr>
        <w:t> </w:t>
      </w:r>
      <w:r>
        <w:rPr>
          <w:sz w:val="24"/>
        </w:rPr>
        <w:t>(2019). Cysticercosis</w:t>
      </w:r>
      <w:r>
        <w:rPr>
          <w:spacing w:val="-4"/>
          <w:sz w:val="24"/>
        </w:rPr>
        <w:t> </w:t>
      </w:r>
      <w:r>
        <w:rPr>
          <w:sz w:val="24"/>
        </w:rPr>
        <w:t>by </w:t>
      </w:r>
      <w:r>
        <w:rPr>
          <w:i/>
          <w:sz w:val="24"/>
        </w:rPr>
        <w:t>Taenia pisiformis </w:t>
      </w:r>
      <w:r>
        <w:rPr>
          <w:sz w:val="24"/>
        </w:rPr>
        <w:t>in Brown Hare (</w:t>
      </w:r>
      <w:r>
        <w:rPr>
          <w:i/>
          <w:sz w:val="24"/>
        </w:rPr>
        <w:t>Lepus europaeus</w:t>
      </w:r>
      <w:r>
        <w:rPr>
          <w:sz w:val="24"/>
        </w:rPr>
        <w:t>) in Northern Italy: epidemiologic</w:t>
      </w:r>
      <w:r>
        <w:rPr>
          <w:spacing w:val="-1"/>
          <w:sz w:val="24"/>
        </w:rPr>
        <w:t> </w:t>
      </w:r>
      <w:r>
        <w:rPr>
          <w:sz w:val="24"/>
        </w:rPr>
        <w:t>and</w:t>
      </w:r>
      <w:r>
        <w:rPr>
          <w:spacing w:val="-2"/>
          <w:sz w:val="24"/>
        </w:rPr>
        <w:t> </w:t>
      </w:r>
      <w:r>
        <w:rPr>
          <w:sz w:val="24"/>
        </w:rPr>
        <w:t>pathologic</w:t>
      </w:r>
      <w:r>
        <w:rPr>
          <w:spacing w:val="-1"/>
          <w:sz w:val="24"/>
        </w:rPr>
        <w:t> </w:t>
      </w:r>
      <w:r>
        <w:rPr>
          <w:sz w:val="24"/>
        </w:rPr>
        <w:t>features. </w:t>
      </w:r>
      <w:r>
        <w:rPr>
          <w:i/>
          <w:sz w:val="24"/>
        </w:rPr>
        <w:t>International Journal for Parasitology. Parasites and Wildlife</w:t>
      </w:r>
      <w:r>
        <w:rPr>
          <w:sz w:val="24"/>
        </w:rPr>
        <w:t>. </w:t>
      </w:r>
      <w:r>
        <w:rPr>
          <w:b/>
          <w:sz w:val="24"/>
        </w:rPr>
        <w:t>9</w:t>
      </w:r>
      <w:r>
        <w:rPr>
          <w:sz w:val="24"/>
        </w:rPr>
        <w:t>: 139-143.</w:t>
      </w:r>
    </w:p>
    <w:sectPr>
      <w:pgSz w:w="11900" w:h="16850"/>
      <w:pgMar w:header="1424" w:footer="1042" w:top="3200" w:bottom="1260" w:left="168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mbria">
    <w:altName w:val="Cambria"/>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47904">
              <wp:simplePos x="0" y="0"/>
              <wp:positionH relativeFrom="page">
                <wp:posOffset>3698113</wp:posOffset>
              </wp:positionH>
              <wp:positionV relativeFrom="page">
                <wp:posOffset>9874981</wp:posOffset>
              </wp:positionV>
              <wp:extent cx="173355" cy="2044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73355" cy="204470"/>
                      </a:xfrm>
                      <a:prstGeom prst="rect">
                        <a:avLst/>
                      </a:prstGeom>
                    </wps:spPr>
                    <wps:txbx>
                      <w:txbxContent>
                        <w:p>
                          <w:pPr>
                            <w:pStyle w:val="BodyText"/>
                            <w:spacing w:before="20"/>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190002pt;margin-top:777.557617pt;width:13.65pt;height:16.1pt;mso-position-horizontal-relative:page;mso-position-vertical-relative:page;z-index:-15768576" type="#_x0000_t202" id="docshape1" filled="false" stroked="false">
              <v:textbox inset="0,0,0,0">
                <w:txbxContent>
                  <w:p>
                    <w:pPr>
                      <w:pStyle w:val="BodyText"/>
                      <w:spacing w:before="20"/>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47392">
          <wp:simplePos x="0" y="0"/>
          <wp:positionH relativeFrom="page">
            <wp:posOffset>2359887</wp:posOffset>
          </wp:positionH>
          <wp:positionV relativeFrom="page">
            <wp:posOffset>904332</wp:posOffset>
          </wp:positionV>
          <wp:extent cx="2836724" cy="114027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836724" cy="114027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70" w:hanging="360"/>
      </w:pPr>
      <w:rPr>
        <w:rFonts w:hint="default" w:ascii="Symbol" w:hAnsi="Symbol" w:eastAsia="Symbol" w:cs="Symbol"/>
        <w:b w:val="0"/>
        <w:bCs w:val="0"/>
        <w:i w:val="0"/>
        <w:iCs w:val="0"/>
        <w:spacing w:val="0"/>
        <w:w w:val="100"/>
        <w:sz w:val="24"/>
        <w:szCs w:val="24"/>
        <w:lang w:val="it-IT" w:eastAsia="en-US" w:bidi="ar-SA"/>
      </w:rPr>
    </w:lvl>
    <w:lvl w:ilvl="1">
      <w:start w:val="0"/>
      <w:numFmt w:val="bullet"/>
      <w:lvlText w:val="•"/>
      <w:lvlJc w:val="left"/>
      <w:pPr>
        <w:ind w:left="1777" w:hanging="360"/>
      </w:pPr>
      <w:rPr>
        <w:rFonts w:hint="default"/>
        <w:lang w:val="it-IT" w:eastAsia="en-US" w:bidi="ar-SA"/>
      </w:rPr>
    </w:lvl>
    <w:lvl w:ilvl="2">
      <w:start w:val="0"/>
      <w:numFmt w:val="bullet"/>
      <w:lvlText w:val="•"/>
      <w:lvlJc w:val="left"/>
      <w:pPr>
        <w:ind w:left="2575" w:hanging="360"/>
      </w:pPr>
      <w:rPr>
        <w:rFonts w:hint="default"/>
        <w:lang w:val="it-IT" w:eastAsia="en-US" w:bidi="ar-SA"/>
      </w:rPr>
    </w:lvl>
    <w:lvl w:ilvl="3">
      <w:start w:val="0"/>
      <w:numFmt w:val="bullet"/>
      <w:lvlText w:val="•"/>
      <w:lvlJc w:val="left"/>
      <w:pPr>
        <w:ind w:left="3373" w:hanging="360"/>
      </w:pPr>
      <w:rPr>
        <w:rFonts w:hint="default"/>
        <w:lang w:val="it-IT" w:eastAsia="en-US" w:bidi="ar-SA"/>
      </w:rPr>
    </w:lvl>
    <w:lvl w:ilvl="4">
      <w:start w:val="0"/>
      <w:numFmt w:val="bullet"/>
      <w:lvlText w:val="•"/>
      <w:lvlJc w:val="left"/>
      <w:pPr>
        <w:ind w:left="4171" w:hanging="360"/>
      </w:pPr>
      <w:rPr>
        <w:rFonts w:hint="default"/>
        <w:lang w:val="it-IT" w:eastAsia="en-US" w:bidi="ar-SA"/>
      </w:rPr>
    </w:lvl>
    <w:lvl w:ilvl="5">
      <w:start w:val="0"/>
      <w:numFmt w:val="bullet"/>
      <w:lvlText w:val="•"/>
      <w:lvlJc w:val="left"/>
      <w:pPr>
        <w:ind w:left="4969" w:hanging="360"/>
      </w:pPr>
      <w:rPr>
        <w:rFonts w:hint="default"/>
        <w:lang w:val="it-IT" w:eastAsia="en-US" w:bidi="ar-SA"/>
      </w:rPr>
    </w:lvl>
    <w:lvl w:ilvl="6">
      <w:start w:val="0"/>
      <w:numFmt w:val="bullet"/>
      <w:lvlText w:val="•"/>
      <w:lvlJc w:val="left"/>
      <w:pPr>
        <w:ind w:left="5767" w:hanging="360"/>
      </w:pPr>
      <w:rPr>
        <w:rFonts w:hint="default"/>
        <w:lang w:val="it-IT" w:eastAsia="en-US" w:bidi="ar-SA"/>
      </w:rPr>
    </w:lvl>
    <w:lvl w:ilvl="7">
      <w:start w:val="0"/>
      <w:numFmt w:val="bullet"/>
      <w:lvlText w:val="•"/>
      <w:lvlJc w:val="left"/>
      <w:pPr>
        <w:ind w:left="6565" w:hanging="360"/>
      </w:pPr>
      <w:rPr>
        <w:rFonts w:hint="default"/>
        <w:lang w:val="it-IT" w:eastAsia="en-US" w:bidi="ar-SA"/>
      </w:rPr>
    </w:lvl>
    <w:lvl w:ilvl="8">
      <w:start w:val="0"/>
      <w:numFmt w:val="bullet"/>
      <w:lvlText w:val="•"/>
      <w:lvlJc w:val="left"/>
      <w:pPr>
        <w:ind w:left="7363" w:hanging="360"/>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it-IT" w:eastAsia="en-US" w:bidi="ar-SA"/>
    </w:rPr>
  </w:style>
  <w:style w:styleId="BodyText" w:type="paragraph">
    <w:name w:val="Body Text"/>
    <w:basedOn w:val="Normal"/>
    <w:uiPriority w:val="1"/>
    <w:qFormat/>
    <w:pPr/>
    <w:rPr>
      <w:rFonts w:ascii="Cambria" w:hAnsi="Cambria" w:eastAsia="Cambria" w:cs="Cambria"/>
      <w:sz w:val="24"/>
      <w:szCs w:val="24"/>
      <w:lang w:val="it-IT" w:eastAsia="en-US" w:bidi="ar-SA"/>
    </w:rPr>
  </w:style>
  <w:style w:styleId="ListParagraph" w:type="paragraph">
    <w:name w:val="List Paragraph"/>
    <w:basedOn w:val="Normal"/>
    <w:uiPriority w:val="1"/>
    <w:qFormat/>
    <w:pPr>
      <w:ind w:left="970" w:right="103" w:hanging="360"/>
      <w:jc w:val="both"/>
    </w:pPr>
    <w:rPr>
      <w:rFonts w:ascii="Cambria" w:hAnsi="Cambria" w:eastAsia="Cambria" w:cs="Cambria"/>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2024-03-07T08:46:30Z</dcterms:created>
  <dcterms:modified xsi:type="dcterms:W3CDTF">2024-03-07T08:46:30Z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2024-03-07T00:00:00Z</vt:filetime>
  </property>
  <property fmtid="{D5CDD505-2E9C-101B-9397-08002B2CF9AE}" pid="3" name="Producer">
    <vt:lpwstr>iLovePDF</vt:lpwstr>
  </property>
</Properties>
</file>